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7339" w:rsidRDefault="002E7339" w:rsidP="002E7339">
      <w:pPr>
        <w:ind w:right="40"/>
        <w:jc w:val="center"/>
        <w:rPr>
          <w:color w:val="000000"/>
          <w:sz w:val="28"/>
          <w:szCs w:val="28"/>
        </w:rPr>
      </w:pPr>
      <w:r w:rsidRPr="009B153A">
        <w:rPr>
          <w:color w:val="000000"/>
          <w:sz w:val="28"/>
          <w:szCs w:val="28"/>
        </w:rPr>
        <w:t>4 ГЕОДЕЗИЧЕСКИЕ МЕТОДЫ НАБЛЮДЕНИЯ ЗА ДЕФОРМАЦИЯМИ</w:t>
      </w:r>
      <w:r>
        <w:rPr>
          <w:color w:val="000000"/>
          <w:sz w:val="28"/>
          <w:szCs w:val="28"/>
        </w:rPr>
        <w:t xml:space="preserve"> </w:t>
      </w:r>
      <w:r w:rsidRPr="009B153A">
        <w:rPr>
          <w:color w:val="000000"/>
          <w:sz w:val="28"/>
          <w:szCs w:val="28"/>
        </w:rPr>
        <w:t>ЗЕМНОЙ КОРЫ</w:t>
      </w:r>
    </w:p>
    <w:p w:rsidR="002E7339" w:rsidRPr="009B153A" w:rsidRDefault="002E7339" w:rsidP="002E7339">
      <w:pPr>
        <w:ind w:right="40"/>
        <w:jc w:val="center"/>
        <w:rPr>
          <w:sz w:val="28"/>
          <w:szCs w:val="28"/>
        </w:rPr>
      </w:pPr>
    </w:p>
    <w:p w:rsidR="002E7339" w:rsidRPr="009B153A" w:rsidRDefault="002E7339" w:rsidP="002E7339">
      <w:pPr>
        <w:ind w:left="120" w:firstLine="520"/>
        <w:jc w:val="both"/>
        <w:rPr>
          <w:sz w:val="28"/>
          <w:szCs w:val="28"/>
        </w:rPr>
      </w:pPr>
      <w:r w:rsidRPr="009B153A">
        <w:rPr>
          <w:color w:val="000000"/>
          <w:sz w:val="28"/>
          <w:szCs w:val="28"/>
        </w:rPr>
        <w:t>План:</w:t>
      </w:r>
    </w:p>
    <w:p w:rsidR="002E7339" w:rsidRPr="009B153A" w:rsidRDefault="002E7339" w:rsidP="002E7339">
      <w:pPr>
        <w:numPr>
          <w:ilvl w:val="0"/>
          <w:numId w:val="2"/>
        </w:numPr>
        <w:tabs>
          <w:tab w:val="left" w:pos="863"/>
        </w:tabs>
        <w:autoSpaceDE/>
        <w:autoSpaceDN/>
        <w:adjustRightInd/>
        <w:ind w:left="120" w:right="40" w:firstLine="520"/>
        <w:jc w:val="both"/>
        <w:rPr>
          <w:sz w:val="28"/>
          <w:szCs w:val="28"/>
        </w:rPr>
      </w:pPr>
      <w:r w:rsidRPr="009B153A">
        <w:rPr>
          <w:color w:val="000000"/>
          <w:sz w:val="28"/>
          <w:szCs w:val="28"/>
        </w:rPr>
        <w:t>Цель проведения геодезических наблюдений за деформациями земной поверхности.</w:t>
      </w:r>
    </w:p>
    <w:p w:rsidR="002E7339" w:rsidRPr="009B153A" w:rsidRDefault="002E7339" w:rsidP="002E7339">
      <w:pPr>
        <w:numPr>
          <w:ilvl w:val="0"/>
          <w:numId w:val="2"/>
        </w:numPr>
        <w:tabs>
          <w:tab w:val="left" w:pos="793"/>
          <w:tab w:val="left" w:pos="993"/>
        </w:tabs>
        <w:autoSpaceDE/>
        <w:autoSpaceDN/>
        <w:adjustRightInd/>
        <w:ind w:left="120" w:firstLine="520"/>
        <w:jc w:val="both"/>
        <w:rPr>
          <w:sz w:val="28"/>
          <w:szCs w:val="28"/>
        </w:rPr>
      </w:pPr>
      <w:r w:rsidRPr="009B153A">
        <w:rPr>
          <w:color w:val="000000"/>
          <w:sz w:val="28"/>
          <w:szCs w:val="28"/>
        </w:rPr>
        <w:t>Методы наблюдения за деформациями.</w:t>
      </w:r>
    </w:p>
    <w:p w:rsidR="002E7339" w:rsidRDefault="002E7339" w:rsidP="002E7339">
      <w:pPr>
        <w:numPr>
          <w:ilvl w:val="0"/>
          <w:numId w:val="2"/>
        </w:numPr>
        <w:tabs>
          <w:tab w:val="left" w:pos="793"/>
          <w:tab w:val="left" w:pos="993"/>
        </w:tabs>
        <w:autoSpaceDE/>
        <w:autoSpaceDN/>
        <w:adjustRightInd/>
        <w:ind w:left="120" w:firstLine="520"/>
        <w:jc w:val="both"/>
        <w:rPr>
          <w:sz w:val="28"/>
          <w:szCs w:val="28"/>
        </w:rPr>
      </w:pPr>
      <w:r w:rsidRPr="009B153A">
        <w:rPr>
          <w:color w:val="000000"/>
          <w:sz w:val="28"/>
          <w:szCs w:val="28"/>
        </w:rPr>
        <w:t>Отчетные материалы и данные.</w:t>
      </w:r>
    </w:p>
    <w:p w:rsidR="002E7339" w:rsidRPr="009B153A" w:rsidRDefault="002E7339" w:rsidP="002E7339">
      <w:pPr>
        <w:tabs>
          <w:tab w:val="left" w:pos="793"/>
        </w:tabs>
        <w:ind w:left="640"/>
        <w:jc w:val="both"/>
        <w:rPr>
          <w:sz w:val="28"/>
          <w:szCs w:val="28"/>
        </w:rPr>
      </w:pPr>
    </w:p>
    <w:p w:rsidR="002E7339" w:rsidRPr="009B153A" w:rsidRDefault="002E7339" w:rsidP="002E7339">
      <w:pPr>
        <w:ind w:left="120" w:right="40" w:firstLine="520"/>
        <w:jc w:val="both"/>
        <w:rPr>
          <w:sz w:val="28"/>
          <w:szCs w:val="28"/>
        </w:rPr>
      </w:pPr>
      <w:proofErr w:type="gramStart"/>
      <w:r w:rsidRPr="009B153A">
        <w:rPr>
          <w:color w:val="000000"/>
          <w:sz w:val="28"/>
          <w:szCs w:val="28"/>
        </w:rPr>
        <w:t>Геодезические наблюдения за деформациями земной поверхности в районах развития современных разрывных тектонических смещений (РТС) выполняют с целью выявления РТС, получения количественных характеристик тектонических движений, оценки и прогнозирования их развития, а также для слежения за РТС в период строительства и эксплуатации технически особо сложных и уникальных (I и II уровней ответственности в соответствии с ГОСТ) предприятий и сооружений для обеспечения условий</w:t>
      </w:r>
      <w:proofErr w:type="gramEnd"/>
      <w:r w:rsidRPr="009B153A">
        <w:rPr>
          <w:color w:val="000000"/>
          <w:sz w:val="28"/>
          <w:szCs w:val="28"/>
        </w:rPr>
        <w:t xml:space="preserve"> их безаварийного функционирования.</w:t>
      </w:r>
    </w:p>
    <w:p w:rsidR="002E7339" w:rsidRPr="009B153A" w:rsidRDefault="002E7339" w:rsidP="002E7339">
      <w:pPr>
        <w:ind w:left="120" w:right="40" w:firstLine="520"/>
        <w:jc w:val="both"/>
        <w:rPr>
          <w:sz w:val="28"/>
          <w:szCs w:val="28"/>
        </w:rPr>
      </w:pPr>
      <w:r w:rsidRPr="009B153A">
        <w:rPr>
          <w:color w:val="000000"/>
          <w:sz w:val="28"/>
          <w:szCs w:val="28"/>
        </w:rPr>
        <w:t>Геодезические наблюдения за развитием РТС следует проводить также на территории построенных объектов, если они ранее не выполнялись, а в процессе эксплуатации возникли предположения о влиянии тектонических факторов на устойчивость и надежность сооружений.</w:t>
      </w:r>
    </w:p>
    <w:p w:rsidR="002E7339" w:rsidRPr="009B153A" w:rsidRDefault="002E7339" w:rsidP="002E7339">
      <w:pPr>
        <w:ind w:left="120" w:right="40" w:firstLine="520"/>
        <w:jc w:val="both"/>
        <w:rPr>
          <w:sz w:val="28"/>
          <w:szCs w:val="28"/>
        </w:rPr>
      </w:pPr>
      <w:r w:rsidRPr="009B153A">
        <w:rPr>
          <w:color w:val="000000"/>
          <w:sz w:val="28"/>
          <w:szCs w:val="28"/>
        </w:rPr>
        <w:t>Геодезические наблюдения в районах развития РТС должны выполняться в комплексе со структурно-геоморфологическими и геофизическими исследованиями.</w:t>
      </w:r>
    </w:p>
    <w:p w:rsidR="002E7339" w:rsidRPr="009B153A" w:rsidRDefault="002E7339" w:rsidP="002E7339">
      <w:pPr>
        <w:ind w:left="120" w:right="40" w:firstLine="520"/>
        <w:jc w:val="both"/>
        <w:rPr>
          <w:sz w:val="28"/>
          <w:szCs w:val="28"/>
        </w:rPr>
      </w:pPr>
      <w:r w:rsidRPr="009B153A">
        <w:rPr>
          <w:color w:val="000000"/>
          <w:sz w:val="28"/>
          <w:szCs w:val="28"/>
        </w:rPr>
        <w:t>На основе геодезических наблюдений должны быть определены и выявлены: активность (скорость) РТС и ориентировка смещений (подвижек) по ним. По результатам комплекса наблюдений должен быть составлен прогноз развития этих смещений на будущее.</w:t>
      </w:r>
    </w:p>
    <w:p w:rsidR="002E7339" w:rsidRPr="009B153A" w:rsidRDefault="002E7339" w:rsidP="002E7339">
      <w:pPr>
        <w:ind w:left="120" w:right="40" w:firstLine="520"/>
        <w:jc w:val="both"/>
        <w:rPr>
          <w:sz w:val="28"/>
          <w:szCs w:val="28"/>
        </w:rPr>
      </w:pPr>
      <w:r w:rsidRPr="009B153A">
        <w:rPr>
          <w:color w:val="000000"/>
          <w:sz w:val="28"/>
          <w:szCs w:val="28"/>
        </w:rPr>
        <w:t>Пункты геодезических сетей (построений) должны закрепляться знаками, обладающими достаточной устойчивостью к внешним воздействиям. Рекомендуется закладка геодезических знаков в выходы скальных пород.</w:t>
      </w:r>
    </w:p>
    <w:p w:rsidR="002E7339" w:rsidRPr="009B153A" w:rsidRDefault="002E7339" w:rsidP="002E7339">
      <w:pPr>
        <w:ind w:left="120" w:right="40" w:firstLine="520"/>
        <w:jc w:val="both"/>
        <w:rPr>
          <w:sz w:val="28"/>
          <w:szCs w:val="28"/>
        </w:rPr>
      </w:pPr>
      <w:r w:rsidRPr="009B153A">
        <w:rPr>
          <w:color w:val="000000"/>
          <w:sz w:val="28"/>
          <w:szCs w:val="28"/>
        </w:rPr>
        <w:t>К геодезическим методам определения осадок и деформаций относятся:</w:t>
      </w:r>
    </w:p>
    <w:p w:rsidR="002E7339" w:rsidRPr="009B153A" w:rsidRDefault="002E7339" w:rsidP="002E7339">
      <w:pPr>
        <w:numPr>
          <w:ilvl w:val="0"/>
          <w:numId w:val="3"/>
        </w:numPr>
        <w:tabs>
          <w:tab w:val="left" w:pos="838"/>
        </w:tabs>
        <w:autoSpaceDE/>
        <w:autoSpaceDN/>
        <w:adjustRightInd/>
        <w:ind w:left="120" w:firstLine="520"/>
        <w:jc w:val="both"/>
        <w:rPr>
          <w:sz w:val="28"/>
          <w:szCs w:val="28"/>
        </w:rPr>
      </w:pPr>
      <w:r w:rsidRPr="009B153A">
        <w:rPr>
          <w:color w:val="000000"/>
          <w:sz w:val="28"/>
          <w:szCs w:val="28"/>
        </w:rPr>
        <w:t>геометрическое нивелирование I и II классов;</w:t>
      </w:r>
    </w:p>
    <w:p w:rsidR="002E7339" w:rsidRPr="009B153A" w:rsidRDefault="002E7339" w:rsidP="002E7339">
      <w:pPr>
        <w:numPr>
          <w:ilvl w:val="0"/>
          <w:numId w:val="3"/>
        </w:numPr>
        <w:tabs>
          <w:tab w:val="left" w:pos="861"/>
        </w:tabs>
        <w:autoSpaceDE/>
        <w:autoSpaceDN/>
        <w:adjustRightInd/>
        <w:ind w:left="120" w:firstLine="520"/>
        <w:jc w:val="both"/>
        <w:rPr>
          <w:sz w:val="28"/>
          <w:szCs w:val="28"/>
        </w:rPr>
      </w:pPr>
      <w:r w:rsidRPr="009B153A">
        <w:rPr>
          <w:color w:val="000000"/>
          <w:sz w:val="28"/>
          <w:szCs w:val="28"/>
        </w:rPr>
        <w:t>гидростатическое нивелирование;</w:t>
      </w:r>
    </w:p>
    <w:p w:rsidR="002E7339" w:rsidRPr="009B153A" w:rsidRDefault="002E7339" w:rsidP="002E7339">
      <w:pPr>
        <w:numPr>
          <w:ilvl w:val="0"/>
          <w:numId w:val="3"/>
        </w:numPr>
        <w:tabs>
          <w:tab w:val="left" w:pos="847"/>
        </w:tabs>
        <w:autoSpaceDE/>
        <w:autoSpaceDN/>
        <w:adjustRightInd/>
        <w:ind w:left="120" w:firstLine="520"/>
        <w:jc w:val="both"/>
        <w:rPr>
          <w:sz w:val="28"/>
          <w:szCs w:val="28"/>
        </w:rPr>
      </w:pPr>
      <w:r w:rsidRPr="009B153A">
        <w:rPr>
          <w:color w:val="000000"/>
          <w:sz w:val="28"/>
          <w:szCs w:val="28"/>
        </w:rPr>
        <w:t>тригонометрическое нивелирование;</w:t>
      </w:r>
    </w:p>
    <w:p w:rsidR="002E7339" w:rsidRPr="009B153A" w:rsidRDefault="002E7339" w:rsidP="002E7339">
      <w:pPr>
        <w:numPr>
          <w:ilvl w:val="0"/>
          <w:numId w:val="3"/>
        </w:numPr>
        <w:tabs>
          <w:tab w:val="left" w:pos="856"/>
        </w:tabs>
        <w:autoSpaceDE/>
        <w:autoSpaceDN/>
        <w:adjustRightInd/>
        <w:ind w:left="120" w:firstLine="520"/>
        <w:jc w:val="both"/>
        <w:rPr>
          <w:sz w:val="28"/>
          <w:szCs w:val="28"/>
        </w:rPr>
      </w:pPr>
      <w:r w:rsidRPr="009B153A">
        <w:rPr>
          <w:color w:val="000000"/>
          <w:sz w:val="28"/>
          <w:szCs w:val="28"/>
        </w:rPr>
        <w:t>створные методы;</w:t>
      </w:r>
    </w:p>
    <w:p w:rsidR="002E7339" w:rsidRPr="009B153A" w:rsidRDefault="002E7339" w:rsidP="002E7339">
      <w:pPr>
        <w:numPr>
          <w:ilvl w:val="0"/>
          <w:numId w:val="3"/>
        </w:numPr>
        <w:autoSpaceDE/>
        <w:autoSpaceDN/>
        <w:adjustRightInd/>
        <w:ind w:left="120" w:firstLine="520"/>
        <w:jc w:val="both"/>
        <w:rPr>
          <w:sz w:val="28"/>
          <w:szCs w:val="28"/>
        </w:rPr>
      </w:pPr>
      <w:r w:rsidRPr="009B153A">
        <w:rPr>
          <w:color w:val="000000"/>
          <w:sz w:val="28"/>
          <w:szCs w:val="28"/>
        </w:rPr>
        <w:t>триангуляция;</w:t>
      </w:r>
    </w:p>
    <w:p w:rsidR="002E7339" w:rsidRPr="009B153A" w:rsidRDefault="002E7339" w:rsidP="002E7339">
      <w:pPr>
        <w:numPr>
          <w:ilvl w:val="0"/>
          <w:numId w:val="3"/>
        </w:numPr>
        <w:tabs>
          <w:tab w:val="left" w:pos="852"/>
        </w:tabs>
        <w:autoSpaceDE/>
        <w:autoSpaceDN/>
        <w:adjustRightInd/>
        <w:ind w:left="120" w:firstLine="520"/>
        <w:jc w:val="both"/>
        <w:rPr>
          <w:sz w:val="28"/>
          <w:szCs w:val="28"/>
        </w:rPr>
      </w:pPr>
      <w:r w:rsidRPr="009B153A">
        <w:rPr>
          <w:color w:val="000000"/>
          <w:sz w:val="28"/>
          <w:szCs w:val="28"/>
        </w:rPr>
        <w:t>современный метод с использованием спутниковых аппаратур.</w:t>
      </w:r>
    </w:p>
    <w:p w:rsidR="002E7339" w:rsidRPr="009B153A" w:rsidRDefault="002E7339" w:rsidP="002E7339">
      <w:pPr>
        <w:ind w:left="120" w:firstLine="520"/>
        <w:jc w:val="both"/>
        <w:rPr>
          <w:sz w:val="28"/>
          <w:szCs w:val="28"/>
        </w:rPr>
      </w:pPr>
      <w:r w:rsidRPr="009B153A">
        <w:rPr>
          <w:color w:val="000000"/>
          <w:sz w:val="28"/>
          <w:szCs w:val="28"/>
        </w:rPr>
        <w:t>Проведем короткий анализ отдельно для каждого из этих методов</w:t>
      </w:r>
      <w:r>
        <w:rPr>
          <w:color w:val="000000"/>
          <w:sz w:val="28"/>
          <w:szCs w:val="28"/>
        </w:rPr>
        <w:t>.</w:t>
      </w:r>
    </w:p>
    <w:p w:rsidR="002E7339" w:rsidRPr="008C279D" w:rsidRDefault="002E7339" w:rsidP="002E7339">
      <w:pPr>
        <w:ind w:left="120" w:firstLine="520"/>
        <w:jc w:val="both"/>
        <w:rPr>
          <w:sz w:val="28"/>
          <w:szCs w:val="28"/>
        </w:rPr>
      </w:pPr>
      <w:r w:rsidRPr="009B153A">
        <w:rPr>
          <w:color w:val="000000"/>
          <w:sz w:val="28"/>
          <w:szCs w:val="28"/>
        </w:rPr>
        <w:t>Метод гидростатического нивелирования позволяет определить</w:t>
      </w:r>
      <w:r>
        <w:rPr>
          <w:color w:val="000000"/>
          <w:sz w:val="28"/>
          <w:szCs w:val="28"/>
        </w:rPr>
        <w:t xml:space="preserve"> </w:t>
      </w:r>
      <w:r w:rsidRPr="008C279D">
        <w:rPr>
          <w:color w:val="000000"/>
          <w:sz w:val="28"/>
          <w:szCs w:val="28"/>
        </w:rPr>
        <w:t>превышения с высокой точностью, порядка 0,01 мм, производить наблюдения между точками при наличии препятствий между ними.</w:t>
      </w:r>
    </w:p>
    <w:p w:rsidR="002E7339" w:rsidRPr="008C279D" w:rsidRDefault="002E7339" w:rsidP="002E7339">
      <w:pPr>
        <w:pStyle w:val="1"/>
        <w:shd w:val="clear" w:color="auto" w:fill="auto"/>
        <w:spacing w:before="0" w:line="240" w:lineRule="auto"/>
        <w:ind w:left="60" w:right="40"/>
        <w:rPr>
          <w:rFonts w:ascii="Times New Roman" w:hAnsi="Times New Roman"/>
          <w:sz w:val="28"/>
          <w:szCs w:val="28"/>
        </w:rPr>
      </w:pPr>
      <w:r w:rsidRPr="008C279D">
        <w:rPr>
          <w:rFonts w:ascii="Times New Roman" w:hAnsi="Times New Roman"/>
          <w:color w:val="000000"/>
          <w:spacing w:val="0"/>
          <w:sz w:val="28"/>
          <w:szCs w:val="28"/>
        </w:rPr>
        <w:t>Однако</w:t>
      </w:r>
      <w:proofErr w:type="gramStart"/>
      <w:r w:rsidRPr="008C279D">
        <w:rPr>
          <w:rFonts w:ascii="Times New Roman" w:hAnsi="Times New Roman"/>
          <w:color w:val="000000"/>
          <w:spacing w:val="0"/>
          <w:sz w:val="28"/>
          <w:szCs w:val="28"/>
        </w:rPr>
        <w:t>,</w:t>
      </w:r>
      <w:proofErr w:type="gramEnd"/>
      <w:r w:rsidRPr="008C279D">
        <w:rPr>
          <w:rFonts w:ascii="Times New Roman" w:hAnsi="Times New Roman"/>
          <w:color w:val="000000"/>
          <w:spacing w:val="0"/>
          <w:sz w:val="28"/>
          <w:szCs w:val="28"/>
        </w:rPr>
        <w:t xml:space="preserve"> он может использоваться лишь в стационарных помещениях с хорошими метеорологическими условиями. Это является существенным </w:t>
      </w:r>
      <w:r w:rsidRPr="008C279D">
        <w:rPr>
          <w:rFonts w:ascii="Times New Roman" w:hAnsi="Times New Roman"/>
          <w:color w:val="000000"/>
          <w:spacing w:val="0"/>
          <w:sz w:val="28"/>
          <w:szCs w:val="28"/>
        </w:rPr>
        <w:lastRenderedPageBreak/>
        <w:t>недостатком.</w:t>
      </w:r>
    </w:p>
    <w:p w:rsidR="002E7339" w:rsidRPr="008C279D" w:rsidRDefault="002E7339" w:rsidP="002E7339">
      <w:pPr>
        <w:pStyle w:val="1"/>
        <w:shd w:val="clear" w:color="auto" w:fill="auto"/>
        <w:spacing w:before="0" w:line="240" w:lineRule="auto"/>
        <w:ind w:left="60" w:right="40" w:firstLine="580"/>
        <w:rPr>
          <w:rFonts w:ascii="Times New Roman" w:hAnsi="Times New Roman"/>
          <w:sz w:val="28"/>
          <w:szCs w:val="28"/>
        </w:rPr>
      </w:pPr>
      <w:r w:rsidRPr="008C279D">
        <w:rPr>
          <w:rFonts w:ascii="Times New Roman" w:hAnsi="Times New Roman"/>
          <w:color w:val="000000"/>
          <w:spacing w:val="0"/>
          <w:sz w:val="28"/>
          <w:szCs w:val="28"/>
        </w:rPr>
        <w:t>Метод тригонометрического нивелирования применяется для определения вертикальных смещений отдаленных, открытых и труднодоступных точек сооружения.</w:t>
      </w:r>
    </w:p>
    <w:p w:rsidR="002E7339" w:rsidRPr="008C279D" w:rsidRDefault="002E7339" w:rsidP="002E7339">
      <w:pPr>
        <w:pStyle w:val="1"/>
        <w:shd w:val="clear" w:color="auto" w:fill="auto"/>
        <w:spacing w:before="0" w:line="240" w:lineRule="auto"/>
        <w:ind w:left="60" w:right="40" w:firstLine="580"/>
        <w:rPr>
          <w:rFonts w:ascii="Times New Roman" w:hAnsi="Times New Roman"/>
          <w:sz w:val="28"/>
          <w:szCs w:val="28"/>
        </w:rPr>
      </w:pPr>
      <w:r w:rsidRPr="008C279D">
        <w:rPr>
          <w:rFonts w:ascii="Times New Roman" w:hAnsi="Times New Roman"/>
          <w:color w:val="000000"/>
          <w:spacing w:val="0"/>
          <w:sz w:val="28"/>
          <w:szCs w:val="28"/>
        </w:rPr>
        <w:t>Метод триангуляции - удобный метод для определения линейных смещений.</w:t>
      </w:r>
    </w:p>
    <w:p w:rsidR="002E7339" w:rsidRPr="008C279D" w:rsidRDefault="002E7339" w:rsidP="002E7339">
      <w:pPr>
        <w:pStyle w:val="1"/>
        <w:shd w:val="clear" w:color="auto" w:fill="auto"/>
        <w:spacing w:before="0" w:line="240" w:lineRule="auto"/>
        <w:ind w:left="60" w:right="40" w:firstLine="580"/>
        <w:rPr>
          <w:rFonts w:ascii="Times New Roman" w:hAnsi="Times New Roman"/>
          <w:sz w:val="28"/>
          <w:szCs w:val="28"/>
        </w:rPr>
      </w:pPr>
      <w:r w:rsidRPr="008C279D">
        <w:rPr>
          <w:rFonts w:ascii="Times New Roman" w:hAnsi="Times New Roman"/>
          <w:color w:val="000000"/>
          <w:spacing w:val="0"/>
          <w:sz w:val="28"/>
          <w:szCs w:val="28"/>
        </w:rPr>
        <w:t>Геодезический метод с использованием спутниковых технологий в настоящее время может быть использован для определения деформаций, как на обширных территориях, так и на локальных участках. Важной особенностью спутниковых определений является их оперативность и синхронность выполнения измерений, и это обстоятельство дает возможность определить деформации на всем исследуемом участке одновременно с той точностью, с которой может дать используемая спутниковая аппаратура и методика обработки спутниковых измерений.</w:t>
      </w:r>
    </w:p>
    <w:p w:rsidR="002E7339" w:rsidRPr="008C279D" w:rsidRDefault="002E7339" w:rsidP="002E7339">
      <w:pPr>
        <w:pStyle w:val="1"/>
        <w:shd w:val="clear" w:color="auto" w:fill="auto"/>
        <w:spacing w:before="0" w:line="240" w:lineRule="auto"/>
        <w:ind w:left="60" w:right="40" w:firstLine="580"/>
        <w:rPr>
          <w:rFonts w:ascii="Times New Roman" w:hAnsi="Times New Roman"/>
          <w:sz w:val="28"/>
          <w:szCs w:val="28"/>
        </w:rPr>
      </w:pPr>
      <w:r w:rsidRPr="008C279D">
        <w:rPr>
          <w:rFonts w:ascii="Times New Roman" w:hAnsi="Times New Roman"/>
          <w:color w:val="000000"/>
          <w:spacing w:val="0"/>
          <w:sz w:val="28"/>
          <w:szCs w:val="28"/>
        </w:rPr>
        <w:t>Створные методы наблюдения - под створными измерениями понимают совокупность действий по определению положения одной или нескольких точек относительно прямой линии, задающей створ.</w:t>
      </w:r>
    </w:p>
    <w:p w:rsidR="002E7339" w:rsidRPr="008C279D" w:rsidRDefault="002E7339" w:rsidP="002E7339">
      <w:pPr>
        <w:pStyle w:val="1"/>
        <w:shd w:val="clear" w:color="auto" w:fill="auto"/>
        <w:spacing w:before="0" w:line="240" w:lineRule="auto"/>
        <w:ind w:left="60" w:right="40" w:firstLine="580"/>
        <w:rPr>
          <w:rFonts w:ascii="Times New Roman" w:hAnsi="Times New Roman"/>
          <w:sz w:val="28"/>
          <w:szCs w:val="28"/>
        </w:rPr>
      </w:pPr>
      <w:r w:rsidRPr="008C279D">
        <w:rPr>
          <w:rFonts w:ascii="Times New Roman" w:hAnsi="Times New Roman"/>
          <w:color w:val="000000"/>
          <w:spacing w:val="0"/>
          <w:sz w:val="28"/>
          <w:szCs w:val="28"/>
        </w:rPr>
        <w:t>Метод геометрического нивелирования является наиболее распространенным из геодезических методов измерения осадок. Основными его достоинствами являются высокая точность и простота в производстве работ, позволяющая проводить измерения для любого количества грунтовых реперов и стенных марок в любых погодных условиях.</w:t>
      </w:r>
    </w:p>
    <w:p w:rsidR="002E7339" w:rsidRPr="008C279D" w:rsidRDefault="002E7339" w:rsidP="002E7339">
      <w:pPr>
        <w:pStyle w:val="1"/>
        <w:shd w:val="clear" w:color="auto" w:fill="auto"/>
        <w:spacing w:before="0" w:line="240" w:lineRule="auto"/>
        <w:ind w:left="60" w:right="40" w:firstLine="580"/>
        <w:rPr>
          <w:rFonts w:ascii="Times New Roman" w:hAnsi="Times New Roman"/>
          <w:sz w:val="28"/>
          <w:szCs w:val="28"/>
        </w:rPr>
      </w:pPr>
      <w:r w:rsidRPr="008C279D">
        <w:rPr>
          <w:rFonts w:ascii="Times New Roman" w:hAnsi="Times New Roman"/>
          <w:color w:val="000000"/>
          <w:spacing w:val="0"/>
          <w:sz w:val="28"/>
          <w:szCs w:val="28"/>
        </w:rPr>
        <w:t>По результатам геодезических измерений в дополнение к приведенной отчетной технической документации представляются следующие материалы и данные:</w:t>
      </w:r>
    </w:p>
    <w:p w:rsidR="002E7339" w:rsidRPr="008C279D" w:rsidRDefault="002E7339" w:rsidP="002E7339">
      <w:pPr>
        <w:pStyle w:val="1"/>
        <w:shd w:val="clear" w:color="auto" w:fill="auto"/>
        <w:tabs>
          <w:tab w:val="left" w:pos="884"/>
        </w:tabs>
        <w:spacing w:before="0" w:line="240" w:lineRule="auto"/>
        <w:ind w:left="60" w:right="40" w:firstLine="580"/>
        <w:rPr>
          <w:rFonts w:ascii="Times New Roman" w:hAnsi="Times New Roman"/>
          <w:sz w:val="28"/>
          <w:szCs w:val="28"/>
        </w:rPr>
      </w:pPr>
      <w:r w:rsidRPr="008C279D">
        <w:rPr>
          <w:rFonts w:ascii="Times New Roman" w:hAnsi="Times New Roman"/>
          <w:color w:val="000000"/>
          <w:spacing w:val="0"/>
          <w:sz w:val="28"/>
          <w:szCs w:val="28"/>
        </w:rPr>
        <w:t>а)</w:t>
      </w:r>
      <w:r w:rsidRPr="008C279D">
        <w:rPr>
          <w:rFonts w:ascii="Times New Roman" w:hAnsi="Times New Roman"/>
          <w:color w:val="000000"/>
          <w:spacing w:val="0"/>
          <w:sz w:val="28"/>
          <w:szCs w:val="28"/>
        </w:rPr>
        <w:tab/>
        <w:t>карта-схема в масштабе 1:200000 или крупнее с нанесенными на ней тектоническими структурами (в том числе типами разрывных нарушений, строением разрывных нарушений, строением разрывных зон, особенностями РТС), а также геодезическими сетями (построениями), плановыми и высотными геодезическими пунктами;</w:t>
      </w:r>
    </w:p>
    <w:p w:rsidR="002E7339" w:rsidRPr="008C279D" w:rsidRDefault="002E7339" w:rsidP="002E7339">
      <w:pPr>
        <w:pStyle w:val="1"/>
        <w:shd w:val="clear" w:color="auto" w:fill="auto"/>
        <w:tabs>
          <w:tab w:val="left" w:pos="879"/>
        </w:tabs>
        <w:spacing w:before="0" w:line="240" w:lineRule="auto"/>
        <w:ind w:left="60" w:right="40" w:firstLine="580"/>
        <w:rPr>
          <w:rFonts w:ascii="Times New Roman" w:hAnsi="Times New Roman"/>
          <w:sz w:val="28"/>
          <w:szCs w:val="28"/>
        </w:rPr>
      </w:pPr>
      <w:r w:rsidRPr="008C279D">
        <w:rPr>
          <w:rFonts w:ascii="Times New Roman" w:hAnsi="Times New Roman"/>
          <w:color w:val="000000"/>
          <w:spacing w:val="0"/>
          <w:sz w:val="28"/>
          <w:szCs w:val="28"/>
        </w:rPr>
        <w:t>б)</w:t>
      </w:r>
      <w:r w:rsidRPr="008C279D">
        <w:rPr>
          <w:rFonts w:ascii="Times New Roman" w:hAnsi="Times New Roman"/>
          <w:color w:val="000000"/>
          <w:spacing w:val="0"/>
          <w:sz w:val="28"/>
          <w:szCs w:val="28"/>
        </w:rPr>
        <w:tab/>
        <w:t>измеренные в каждом цикле длины линий, превышения между знаками, их разности по отношению к начальному и ближайшему предыдущему циклам;</w:t>
      </w:r>
    </w:p>
    <w:p w:rsidR="002E7339" w:rsidRPr="008C279D" w:rsidRDefault="002E7339" w:rsidP="002E7339">
      <w:pPr>
        <w:pStyle w:val="1"/>
        <w:shd w:val="clear" w:color="auto" w:fill="auto"/>
        <w:tabs>
          <w:tab w:val="left" w:pos="875"/>
        </w:tabs>
        <w:spacing w:before="0" w:line="240" w:lineRule="auto"/>
        <w:ind w:left="60" w:right="40" w:firstLine="580"/>
        <w:rPr>
          <w:rFonts w:ascii="Times New Roman" w:hAnsi="Times New Roman"/>
          <w:sz w:val="28"/>
          <w:szCs w:val="28"/>
        </w:rPr>
      </w:pPr>
      <w:r w:rsidRPr="008C279D">
        <w:rPr>
          <w:rFonts w:ascii="Times New Roman" w:hAnsi="Times New Roman"/>
          <w:color w:val="000000"/>
          <w:spacing w:val="0"/>
          <w:sz w:val="28"/>
          <w:szCs w:val="28"/>
        </w:rPr>
        <w:t>в)</w:t>
      </w:r>
      <w:r w:rsidRPr="008C279D">
        <w:rPr>
          <w:rFonts w:ascii="Times New Roman" w:hAnsi="Times New Roman"/>
          <w:color w:val="000000"/>
          <w:spacing w:val="0"/>
          <w:sz w:val="28"/>
          <w:szCs w:val="28"/>
        </w:rPr>
        <w:tab/>
        <w:t>графики скоростей или накопления разностей превышений по этим линиям;</w:t>
      </w:r>
    </w:p>
    <w:p w:rsidR="002E7339" w:rsidRPr="008C279D" w:rsidRDefault="002E7339" w:rsidP="002E7339">
      <w:pPr>
        <w:pStyle w:val="1"/>
        <w:shd w:val="clear" w:color="auto" w:fill="auto"/>
        <w:tabs>
          <w:tab w:val="left" w:pos="866"/>
        </w:tabs>
        <w:spacing w:before="0" w:line="240" w:lineRule="auto"/>
        <w:ind w:left="60" w:right="40" w:firstLine="580"/>
        <w:rPr>
          <w:rFonts w:ascii="Times New Roman" w:hAnsi="Times New Roman"/>
          <w:sz w:val="28"/>
          <w:szCs w:val="28"/>
        </w:rPr>
      </w:pPr>
      <w:r w:rsidRPr="008C279D">
        <w:rPr>
          <w:rFonts w:ascii="Times New Roman" w:hAnsi="Times New Roman"/>
          <w:color w:val="000000"/>
          <w:spacing w:val="0"/>
          <w:sz w:val="28"/>
          <w:szCs w:val="28"/>
        </w:rPr>
        <w:t>г)</w:t>
      </w:r>
      <w:r w:rsidRPr="008C279D">
        <w:rPr>
          <w:rFonts w:ascii="Times New Roman" w:hAnsi="Times New Roman"/>
          <w:color w:val="000000"/>
          <w:spacing w:val="0"/>
          <w:sz w:val="28"/>
          <w:szCs w:val="28"/>
        </w:rPr>
        <w:tab/>
        <w:t>фрагменты графиков скоростей (в удобном для наглядности масштабе) на участках аномальных скоростей;</w:t>
      </w:r>
    </w:p>
    <w:p w:rsidR="002E7339" w:rsidRPr="008C279D" w:rsidRDefault="002E7339" w:rsidP="002E7339">
      <w:pPr>
        <w:pStyle w:val="1"/>
        <w:shd w:val="clear" w:color="auto" w:fill="auto"/>
        <w:tabs>
          <w:tab w:val="left" w:pos="888"/>
        </w:tabs>
        <w:spacing w:before="0" w:line="240" w:lineRule="auto"/>
        <w:ind w:left="60" w:firstLine="580"/>
        <w:rPr>
          <w:rFonts w:ascii="Times New Roman" w:hAnsi="Times New Roman"/>
          <w:sz w:val="28"/>
          <w:szCs w:val="28"/>
        </w:rPr>
      </w:pPr>
      <w:proofErr w:type="spellStart"/>
      <w:r w:rsidRPr="008C279D">
        <w:rPr>
          <w:rFonts w:ascii="Times New Roman" w:hAnsi="Times New Roman"/>
          <w:color w:val="000000"/>
          <w:spacing w:val="0"/>
          <w:sz w:val="28"/>
          <w:szCs w:val="28"/>
        </w:rPr>
        <w:t>д</w:t>
      </w:r>
      <w:proofErr w:type="spellEnd"/>
      <w:r w:rsidRPr="008C279D">
        <w:rPr>
          <w:rFonts w:ascii="Times New Roman" w:hAnsi="Times New Roman"/>
          <w:color w:val="000000"/>
          <w:spacing w:val="0"/>
          <w:sz w:val="28"/>
          <w:szCs w:val="28"/>
        </w:rPr>
        <w:t>)</w:t>
      </w:r>
      <w:r w:rsidRPr="008C279D">
        <w:rPr>
          <w:rFonts w:ascii="Times New Roman" w:hAnsi="Times New Roman"/>
          <w:color w:val="000000"/>
          <w:spacing w:val="0"/>
          <w:sz w:val="28"/>
          <w:szCs w:val="28"/>
        </w:rPr>
        <w:tab/>
        <w:t>карта-схема относительных скоростей;</w:t>
      </w:r>
    </w:p>
    <w:p w:rsidR="002E7339" w:rsidRPr="008C279D" w:rsidRDefault="002E7339" w:rsidP="002E7339">
      <w:pPr>
        <w:pStyle w:val="1"/>
        <w:shd w:val="clear" w:color="auto" w:fill="auto"/>
        <w:tabs>
          <w:tab w:val="left" w:pos="874"/>
        </w:tabs>
        <w:spacing w:before="0" w:line="240" w:lineRule="auto"/>
        <w:ind w:left="60" w:firstLine="580"/>
        <w:rPr>
          <w:rFonts w:ascii="Times New Roman" w:hAnsi="Times New Roman"/>
          <w:sz w:val="28"/>
          <w:szCs w:val="28"/>
        </w:rPr>
      </w:pPr>
      <w:r w:rsidRPr="008C279D">
        <w:rPr>
          <w:rFonts w:ascii="Times New Roman" w:hAnsi="Times New Roman"/>
          <w:color w:val="000000"/>
          <w:spacing w:val="0"/>
          <w:sz w:val="28"/>
          <w:szCs w:val="28"/>
        </w:rPr>
        <w:t>е)</w:t>
      </w:r>
      <w:r w:rsidRPr="008C279D">
        <w:rPr>
          <w:rFonts w:ascii="Times New Roman" w:hAnsi="Times New Roman"/>
          <w:color w:val="000000"/>
          <w:spacing w:val="0"/>
          <w:sz w:val="28"/>
          <w:szCs w:val="28"/>
        </w:rPr>
        <w:tab/>
        <w:t>схема векторов горизонтальных смещений.</w:t>
      </w:r>
    </w:p>
    <w:p w:rsidR="002E7339" w:rsidRDefault="002E7339" w:rsidP="002E7339">
      <w:pPr>
        <w:pStyle w:val="Style42"/>
        <w:widowControl/>
        <w:spacing w:line="240" w:lineRule="auto"/>
        <w:rPr>
          <w:rStyle w:val="FontStyle389"/>
          <w:b w:val="0"/>
          <w:sz w:val="28"/>
          <w:szCs w:val="28"/>
        </w:rPr>
      </w:pPr>
    </w:p>
    <w:p w:rsidR="00B3105B" w:rsidRPr="002E7339" w:rsidRDefault="00B3105B" w:rsidP="002E7339"/>
    <w:sectPr w:rsidR="00B3105B" w:rsidRPr="002E7339" w:rsidSect="00B3105B">
      <w:headerReference w:type="default" r:id="rId5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1B5D" w:rsidRDefault="002E7339">
    <w:pPr>
      <w:rPr>
        <w:sz w:val="2"/>
        <w:szCs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211A74"/>
    <w:multiLevelType w:val="hybridMultilevel"/>
    <w:tmpl w:val="A9B2939C"/>
    <w:lvl w:ilvl="0" w:tplc="C9A08F9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31D4495E"/>
    <w:multiLevelType w:val="multilevel"/>
    <w:tmpl w:val="99501AE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19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5CF5AD8"/>
    <w:multiLevelType w:val="multilevel"/>
    <w:tmpl w:val="FA2E476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19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2E7339"/>
    <w:rsid w:val="002E7339"/>
    <w:rsid w:val="00B310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7339"/>
    <w:pPr>
      <w:widowControl w:val="0"/>
      <w:autoSpaceDE w:val="0"/>
      <w:autoSpaceDN w:val="0"/>
      <w:adjustRightInd w:val="0"/>
      <w:spacing w:after="0" w:line="240" w:lineRule="auto"/>
      <w:ind w:firstLine="56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42">
    <w:name w:val="Style42"/>
    <w:basedOn w:val="a"/>
    <w:uiPriority w:val="99"/>
    <w:rsid w:val="002E7339"/>
    <w:pPr>
      <w:spacing w:line="250" w:lineRule="exact"/>
      <w:jc w:val="center"/>
    </w:pPr>
  </w:style>
  <w:style w:type="character" w:customStyle="1" w:styleId="FontStyle389">
    <w:name w:val="Font Style389"/>
    <w:uiPriority w:val="99"/>
    <w:rsid w:val="002E7339"/>
    <w:rPr>
      <w:rFonts w:ascii="Arial" w:hAnsi="Arial" w:cs="Arial"/>
      <w:b/>
      <w:bCs/>
      <w:color w:val="000000"/>
      <w:sz w:val="20"/>
      <w:szCs w:val="20"/>
    </w:rPr>
  </w:style>
  <w:style w:type="character" w:customStyle="1" w:styleId="a3">
    <w:name w:val="Основной текст_"/>
    <w:link w:val="1"/>
    <w:rsid w:val="002E7339"/>
    <w:rPr>
      <w:rFonts w:ascii="Lucida Sans Unicode" w:eastAsia="Lucida Sans Unicode" w:hAnsi="Lucida Sans Unicode" w:cs="Lucida Sans Unicode"/>
      <w:spacing w:val="-10"/>
      <w:shd w:val="clear" w:color="auto" w:fill="FFFFFF"/>
    </w:rPr>
  </w:style>
  <w:style w:type="paragraph" w:customStyle="1" w:styleId="1">
    <w:name w:val="Основной текст1"/>
    <w:basedOn w:val="a"/>
    <w:link w:val="a3"/>
    <w:rsid w:val="002E7339"/>
    <w:pPr>
      <w:shd w:val="clear" w:color="auto" w:fill="FFFFFF"/>
      <w:autoSpaceDE/>
      <w:autoSpaceDN/>
      <w:adjustRightInd/>
      <w:spacing w:before="300" w:line="269" w:lineRule="exact"/>
      <w:ind w:firstLine="600"/>
      <w:jc w:val="both"/>
    </w:pPr>
    <w:rPr>
      <w:rFonts w:ascii="Lucida Sans Unicode" w:eastAsia="Lucida Sans Unicode" w:hAnsi="Lucida Sans Unicode" w:cs="Lucida Sans Unicode"/>
      <w:spacing w:val="-10"/>
      <w:sz w:val="22"/>
      <w:szCs w:val="22"/>
      <w:lang w:eastAsia="en-US"/>
    </w:rPr>
  </w:style>
  <w:style w:type="character" w:customStyle="1" w:styleId="0pt">
    <w:name w:val="Основной текст + Полужирный;Интервал 0 pt"/>
    <w:rsid w:val="002E733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0"/>
      <w:w w:val="100"/>
      <w:position w:val="0"/>
      <w:sz w:val="22"/>
      <w:szCs w:val="22"/>
      <w:u w:val="none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640</Words>
  <Characters>3651</Characters>
  <Application>Microsoft Office Word</Application>
  <DocSecurity>0</DocSecurity>
  <Lines>30</Lines>
  <Paragraphs>8</Paragraphs>
  <ScaleCrop>false</ScaleCrop>
  <Company/>
  <LinksUpToDate>false</LinksUpToDate>
  <CharactersWithSpaces>4283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Ganat</dc:creator>
  <cp:lastModifiedBy>Ganat</cp:lastModifiedBy>
  <cp:revision>1</cp:revision>
  <dcterms:created xsi:type="dcterms:W3CDTF">2020-09-09T03:51:00Z</dcterms:created>
  <dcterms:modified xsi:type="dcterms:W3CDTF">2020-09-09T03:52:00Z</dcterms:modified>
</cp:coreProperties>
</file>